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11B19" w14:textId="77777777" w:rsidR="001E5EFB" w:rsidRPr="001E5EFB" w:rsidRDefault="001E5EFB" w:rsidP="001E5EFB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1E5EFB">
        <w:rPr>
          <w:rFonts w:cs="Arial"/>
          <w:b/>
          <w:sz w:val="28"/>
          <w:szCs w:val="22"/>
        </w:rPr>
        <w:t>M7: Level Standards</w:t>
      </w:r>
    </w:p>
    <w:p w14:paraId="2E1965F9" w14:textId="77777777" w:rsidR="001E5EFB" w:rsidRPr="001E5EFB" w:rsidRDefault="001E5EFB" w:rsidP="001E5EFB">
      <w:pPr>
        <w:spacing w:line="276" w:lineRule="auto"/>
        <w:rPr>
          <w:rFonts w:cs="Arial"/>
          <w:sz w:val="22"/>
          <w:szCs w:val="22"/>
        </w:rPr>
      </w:pPr>
    </w:p>
    <w:p w14:paraId="1F69DDC5" w14:textId="77777777" w:rsidR="001E5EFB" w:rsidRPr="001E5EFB" w:rsidRDefault="001E5EFB" w:rsidP="001E5EFB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E5EFB">
        <w:rPr>
          <w:rFonts w:cs="Arial"/>
          <w:b/>
          <w:sz w:val="24"/>
          <w:szCs w:val="22"/>
        </w:rPr>
        <w:t>GENERAL ROLE</w:t>
      </w:r>
    </w:p>
    <w:p w14:paraId="3B6DA004" w14:textId="77777777" w:rsidR="001E5EFB" w:rsidRPr="001E5EFB" w:rsidRDefault="001E5EFB" w:rsidP="001E5EFB">
      <w:pPr>
        <w:spacing w:after="200" w:line="276" w:lineRule="auto"/>
        <w:rPr>
          <w:rFonts w:cs="Arial"/>
          <w:sz w:val="22"/>
          <w:szCs w:val="22"/>
        </w:rPr>
      </w:pPr>
      <w:r w:rsidRPr="001E5EFB">
        <w:rPr>
          <w:rFonts w:cs="Arial"/>
          <w:sz w:val="22"/>
          <w:szCs w:val="22"/>
        </w:rPr>
        <w:t>This level is accountable for providing management of a moderate- to notably-sized department charged with providing a variety of cross-disciplinary services. Incumbents should have oversight of professional and non-professional staff, as well as business and/or administrative operations. Positions at this level do not exclusively serve as the supervisory level to only student employees.</w:t>
      </w:r>
    </w:p>
    <w:p w14:paraId="77A07DEF" w14:textId="77777777" w:rsidR="001E5EFB" w:rsidRPr="001E5EFB" w:rsidRDefault="001E5EFB" w:rsidP="001E5EFB">
      <w:pPr>
        <w:spacing w:after="200" w:line="276" w:lineRule="auto"/>
        <w:rPr>
          <w:rFonts w:cs="Arial"/>
          <w:sz w:val="22"/>
          <w:szCs w:val="22"/>
        </w:rPr>
      </w:pPr>
      <w:r w:rsidRPr="001E5EFB">
        <w:rPr>
          <w:rFonts w:cs="Arial"/>
          <w:sz w:val="22"/>
          <w:szCs w:val="22"/>
        </w:rPr>
        <w:t>Incumbents:</w:t>
      </w:r>
    </w:p>
    <w:p w14:paraId="630C3AC6" w14:textId="77777777" w:rsidR="001E5EFB" w:rsidRPr="001E5EFB" w:rsidRDefault="001E5EFB" w:rsidP="001E5EFB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E5EFB">
        <w:rPr>
          <w:rFonts w:cs="Arial"/>
          <w:sz w:val="22"/>
          <w:szCs w:val="22"/>
        </w:rPr>
        <w:t>Modify practices and procedures to improve efficiency and quality of service delivered by subordinate staff.</w:t>
      </w:r>
    </w:p>
    <w:p w14:paraId="6737AEFF" w14:textId="77777777" w:rsidR="001E5EFB" w:rsidRPr="001E5EFB" w:rsidRDefault="001E5EFB" w:rsidP="001E5EFB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E5EFB">
        <w:rPr>
          <w:rFonts w:cs="Arial"/>
          <w:sz w:val="22"/>
          <w:szCs w:val="22"/>
        </w:rPr>
        <w:t>Research and apply better ways to effectively achieve end results by, for example, arranging/rearranging the way work is performed, changing elements of processes, and adding or deleting new or unnecessary capabilities/functionalities for subordinate staff, as needed.</w:t>
      </w:r>
    </w:p>
    <w:p w14:paraId="5E414A25" w14:textId="77777777" w:rsidR="001E5EFB" w:rsidRPr="001E5EFB" w:rsidRDefault="001E5EFB" w:rsidP="001E5EFB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E5EFB">
        <w:rPr>
          <w:rFonts w:cs="Arial"/>
          <w:sz w:val="22"/>
          <w:szCs w:val="22"/>
        </w:rPr>
        <w:t>Set staff objectives, immediate- and/or long-term, as a means to fulfill departmental or division initiatives.</w:t>
      </w:r>
    </w:p>
    <w:p w14:paraId="09C661A9" w14:textId="77777777" w:rsidR="001E5EFB" w:rsidRPr="001E5EFB" w:rsidRDefault="001E5EFB" w:rsidP="001E5EFB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E5EFB">
        <w:rPr>
          <w:rFonts w:cs="Arial"/>
          <w:sz w:val="22"/>
          <w:szCs w:val="22"/>
        </w:rPr>
        <w:t>Provide analytical, technical, and advisory support to more senior members within the same disciplinary track</w:t>
      </w:r>
    </w:p>
    <w:p w14:paraId="1A9D394F" w14:textId="77777777" w:rsidR="001E5EFB" w:rsidRPr="001E5EFB" w:rsidRDefault="001E5EFB" w:rsidP="001E5EFB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E5EFB">
        <w:rPr>
          <w:rFonts w:cs="Arial"/>
          <w:sz w:val="22"/>
          <w:szCs w:val="22"/>
        </w:rPr>
        <w:t>May determine how to achieve directives set by directors, at a department level.</w:t>
      </w:r>
    </w:p>
    <w:p w14:paraId="1CAC45EC" w14:textId="77777777" w:rsidR="001E5EFB" w:rsidRPr="001E5EFB" w:rsidRDefault="001E5EFB" w:rsidP="001E5EFB">
      <w:pPr>
        <w:spacing w:line="276" w:lineRule="auto"/>
        <w:rPr>
          <w:rFonts w:cs="Arial"/>
          <w:sz w:val="22"/>
          <w:szCs w:val="22"/>
        </w:rPr>
      </w:pPr>
    </w:p>
    <w:p w14:paraId="18032762" w14:textId="77777777" w:rsidR="001E5EFB" w:rsidRPr="001E5EFB" w:rsidRDefault="001E5EFB" w:rsidP="001E5EFB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E5EFB">
        <w:rPr>
          <w:rFonts w:cs="Arial"/>
          <w:b/>
          <w:sz w:val="24"/>
          <w:szCs w:val="22"/>
        </w:rPr>
        <w:t>INDEPENDENCE AND DECISION-MAKING</w:t>
      </w:r>
    </w:p>
    <w:p w14:paraId="4C0A9A5D" w14:textId="77777777" w:rsidR="001E5EFB" w:rsidRPr="001E5EFB" w:rsidRDefault="001E5EFB" w:rsidP="001E5EFB">
      <w:pPr>
        <w:spacing w:line="276" w:lineRule="auto"/>
        <w:ind w:firstLine="720"/>
        <w:rPr>
          <w:rFonts w:cs="Arial"/>
          <w:sz w:val="22"/>
          <w:szCs w:val="22"/>
        </w:rPr>
      </w:pPr>
      <w:r w:rsidRPr="001E5EFB">
        <w:rPr>
          <w:rFonts w:cs="Arial"/>
          <w:i/>
          <w:sz w:val="22"/>
          <w:szCs w:val="22"/>
        </w:rPr>
        <w:sym w:font="Wingdings" w:char="F0E0"/>
      </w:r>
      <w:r w:rsidRPr="001E5EFB">
        <w:rPr>
          <w:rFonts w:cs="Arial"/>
          <w:i/>
          <w:sz w:val="22"/>
          <w:szCs w:val="22"/>
        </w:rPr>
        <w:t xml:space="preserve"> Supervision Receive</w:t>
      </w:r>
      <w:r w:rsidRPr="001E5EFB">
        <w:rPr>
          <w:rFonts w:cs="Arial"/>
          <w:sz w:val="22"/>
          <w:szCs w:val="22"/>
        </w:rPr>
        <w:t>d</w:t>
      </w:r>
    </w:p>
    <w:p w14:paraId="4DD0D1BA" w14:textId="77777777" w:rsidR="001E5EFB" w:rsidRPr="001E5EFB" w:rsidRDefault="001E5EFB" w:rsidP="001E5EFB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E5EFB">
        <w:rPr>
          <w:rFonts w:cs="Arial"/>
          <w:sz w:val="22"/>
          <w:szCs w:val="22"/>
        </w:rPr>
        <w:t>Works under general direction.</w:t>
      </w:r>
    </w:p>
    <w:p w14:paraId="5F0AB4A5" w14:textId="77777777" w:rsidR="001E5EFB" w:rsidRPr="001E5EFB" w:rsidRDefault="001E5EFB" w:rsidP="001E5EFB">
      <w:pPr>
        <w:numPr>
          <w:ilvl w:val="0"/>
          <w:numId w:val="20"/>
        </w:numPr>
        <w:spacing w:after="200" w:line="276" w:lineRule="auto"/>
        <w:rPr>
          <w:rFonts w:cs="Arial"/>
          <w:sz w:val="22"/>
          <w:szCs w:val="22"/>
        </w:rPr>
      </w:pPr>
      <w:r w:rsidRPr="001E5EFB">
        <w:rPr>
          <w:rFonts w:cs="Arial"/>
          <w:sz w:val="22"/>
          <w:szCs w:val="22"/>
        </w:rPr>
        <w:t>Seeks assistance only when unique situations arise, coupled with financial impact to the division, and political consequence.</w:t>
      </w:r>
    </w:p>
    <w:p w14:paraId="38C1033F" w14:textId="77777777" w:rsidR="001E5EFB" w:rsidRPr="001E5EFB" w:rsidRDefault="001E5EFB" w:rsidP="001E5EFB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E5EFB">
        <w:rPr>
          <w:rFonts w:cs="Arial"/>
          <w:i/>
          <w:sz w:val="22"/>
          <w:szCs w:val="22"/>
        </w:rPr>
        <w:sym w:font="Wingdings" w:char="F0E0"/>
      </w:r>
      <w:r w:rsidRPr="001E5EFB">
        <w:rPr>
          <w:rFonts w:cs="Arial"/>
          <w:i/>
          <w:sz w:val="22"/>
          <w:szCs w:val="22"/>
        </w:rPr>
        <w:t xml:space="preserve"> Context of Decisions</w:t>
      </w:r>
    </w:p>
    <w:p w14:paraId="5FA6518A" w14:textId="77777777" w:rsidR="001E5EFB" w:rsidRPr="001E5EFB" w:rsidRDefault="001E5EFB" w:rsidP="001E5EFB">
      <w:pPr>
        <w:numPr>
          <w:ilvl w:val="0"/>
          <w:numId w:val="21"/>
        </w:numPr>
        <w:spacing w:after="200" w:line="276" w:lineRule="auto"/>
        <w:rPr>
          <w:rFonts w:cs="Arial"/>
          <w:sz w:val="22"/>
          <w:szCs w:val="22"/>
        </w:rPr>
      </w:pPr>
      <w:r w:rsidRPr="001E5EFB">
        <w:rPr>
          <w:rFonts w:cs="Arial"/>
          <w:sz w:val="22"/>
          <w:szCs w:val="22"/>
        </w:rPr>
        <w:t>Work is focused on and regulated by specific division goals and milestones.</w:t>
      </w:r>
    </w:p>
    <w:p w14:paraId="0A930A2E" w14:textId="77777777" w:rsidR="001E5EFB" w:rsidRPr="001E5EFB" w:rsidRDefault="001E5EFB" w:rsidP="001E5EFB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E5EFB">
        <w:rPr>
          <w:rFonts w:cs="Arial"/>
          <w:i/>
          <w:sz w:val="22"/>
          <w:szCs w:val="22"/>
        </w:rPr>
        <w:sym w:font="Wingdings" w:char="F0E0"/>
      </w:r>
      <w:r w:rsidRPr="001E5EFB">
        <w:rPr>
          <w:rFonts w:cs="Arial"/>
          <w:i/>
          <w:sz w:val="22"/>
          <w:szCs w:val="22"/>
        </w:rPr>
        <w:t xml:space="preserve"> Job Controls</w:t>
      </w:r>
    </w:p>
    <w:p w14:paraId="45FA4188" w14:textId="77777777" w:rsidR="001E5EFB" w:rsidRPr="001E5EFB" w:rsidRDefault="001E5EFB" w:rsidP="001E5EFB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E5EFB">
        <w:rPr>
          <w:rFonts w:cs="Arial"/>
          <w:sz w:val="22"/>
          <w:szCs w:val="22"/>
        </w:rPr>
        <w:lastRenderedPageBreak/>
        <w:t>Incumbents act based on own judgement as long as actions adhere to division policies and operating procedures, and remain focused on the division and departmental objectives.</w:t>
      </w:r>
    </w:p>
    <w:p w14:paraId="2CB0C870" w14:textId="77777777" w:rsidR="001E5EFB" w:rsidRPr="001E5EFB" w:rsidRDefault="001E5EFB" w:rsidP="001E5EFB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E5EFB">
        <w:rPr>
          <w:rFonts w:cs="Arial"/>
          <w:sz w:val="22"/>
          <w:szCs w:val="22"/>
        </w:rPr>
        <w:t>Subject to managerial controls through conferences, review of reports, and occasional departmental visits.</w:t>
      </w:r>
    </w:p>
    <w:p w14:paraId="150635D9" w14:textId="77777777" w:rsidR="001E5EFB" w:rsidRPr="001E5EFB" w:rsidRDefault="001E5EFB" w:rsidP="001E5EFB">
      <w:pPr>
        <w:numPr>
          <w:ilvl w:val="0"/>
          <w:numId w:val="21"/>
        </w:numPr>
        <w:spacing w:after="200" w:line="276" w:lineRule="auto"/>
        <w:contextualSpacing/>
        <w:rPr>
          <w:rFonts w:cs="Arial"/>
          <w:b/>
          <w:sz w:val="22"/>
          <w:szCs w:val="22"/>
        </w:rPr>
      </w:pPr>
      <w:r w:rsidRPr="001E5EFB">
        <w:rPr>
          <w:rFonts w:cs="Arial"/>
          <w:sz w:val="22"/>
          <w:szCs w:val="22"/>
        </w:rPr>
        <w:t>Managerial controls are exercised on incumbents for matters of policy development and coordination, intermediate- and long-range planning, budgetary, and human resources based matters.</w:t>
      </w:r>
    </w:p>
    <w:p w14:paraId="2A4C9269" w14:textId="77777777" w:rsidR="001E5EFB" w:rsidRPr="001E5EFB" w:rsidRDefault="001E5EFB" w:rsidP="001E5EFB">
      <w:pPr>
        <w:spacing w:line="276" w:lineRule="auto"/>
        <w:ind w:left="1800"/>
        <w:contextualSpacing/>
        <w:rPr>
          <w:rFonts w:cs="Arial"/>
          <w:b/>
          <w:sz w:val="22"/>
          <w:szCs w:val="22"/>
        </w:rPr>
      </w:pPr>
    </w:p>
    <w:p w14:paraId="5699920C" w14:textId="77777777" w:rsidR="001E5EFB" w:rsidRPr="001E5EFB" w:rsidRDefault="001E5EFB" w:rsidP="001E5EFB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E5EFB">
        <w:rPr>
          <w:rFonts w:cs="Arial"/>
          <w:b/>
          <w:sz w:val="24"/>
          <w:szCs w:val="22"/>
        </w:rPr>
        <w:t>COMPLEXITY AND PROBLEM SOLVING</w:t>
      </w:r>
    </w:p>
    <w:p w14:paraId="5C84B046" w14:textId="77777777" w:rsidR="001E5EFB" w:rsidRPr="001E5EFB" w:rsidRDefault="001E5EFB" w:rsidP="001E5EFB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1E5EFB">
        <w:rPr>
          <w:rFonts w:cs="Arial"/>
          <w:i/>
          <w:sz w:val="22"/>
          <w:szCs w:val="22"/>
        </w:rPr>
        <w:sym w:font="Wingdings" w:char="F0E0"/>
      </w:r>
      <w:r w:rsidRPr="001E5EFB">
        <w:rPr>
          <w:rFonts w:cs="Arial"/>
          <w:i/>
          <w:sz w:val="22"/>
          <w:szCs w:val="22"/>
        </w:rPr>
        <w:t xml:space="preserve"> Range of issues</w:t>
      </w:r>
    </w:p>
    <w:p w14:paraId="696B4611" w14:textId="77777777" w:rsidR="001E5EFB" w:rsidRPr="001E5EFB" w:rsidRDefault="001E5EFB" w:rsidP="001E5EFB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E5EFB">
        <w:rPr>
          <w:rFonts w:cs="Arial"/>
          <w:sz w:val="22"/>
          <w:szCs w:val="22"/>
        </w:rPr>
        <w:t>Problems are unique and unexpected.</w:t>
      </w:r>
    </w:p>
    <w:p w14:paraId="536BF5CE" w14:textId="77777777" w:rsidR="001E5EFB" w:rsidRDefault="001E5EFB" w:rsidP="001E5EFB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E5EFB">
        <w:rPr>
          <w:rFonts w:cs="Arial"/>
          <w:sz w:val="22"/>
          <w:szCs w:val="22"/>
        </w:rPr>
        <w:t>Challenges for problems arise due to lack of precedent or policy at a division or University level.</w:t>
      </w:r>
    </w:p>
    <w:p w14:paraId="6FC1D4CC" w14:textId="77777777" w:rsidR="008A7410" w:rsidRPr="001E5EFB" w:rsidRDefault="008A7410" w:rsidP="008A7410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7A0D84B3" w14:textId="77777777" w:rsidR="001E5EFB" w:rsidRPr="001E5EFB" w:rsidRDefault="001E5EFB" w:rsidP="001E5EFB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E5EFB">
        <w:rPr>
          <w:rFonts w:cs="Arial"/>
          <w:i/>
          <w:sz w:val="22"/>
          <w:szCs w:val="22"/>
        </w:rPr>
        <w:sym w:font="Wingdings" w:char="F0E0"/>
      </w:r>
      <w:r w:rsidRPr="001E5EFB">
        <w:rPr>
          <w:rFonts w:cs="Arial"/>
          <w:i/>
          <w:sz w:val="22"/>
          <w:szCs w:val="22"/>
        </w:rPr>
        <w:t xml:space="preserve"> Course of Resolution</w:t>
      </w:r>
    </w:p>
    <w:p w14:paraId="73A8CB20" w14:textId="77777777" w:rsidR="001E5EFB" w:rsidRPr="001E5EFB" w:rsidRDefault="001E5EFB" w:rsidP="001E5EFB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E5EFB">
        <w:rPr>
          <w:rFonts w:cs="Arial"/>
          <w:sz w:val="22"/>
          <w:szCs w:val="22"/>
        </w:rPr>
        <w:t>Problems require response/adaptation to changing conditions or circumstances, necessitating enterprise and new approaches.</w:t>
      </w:r>
    </w:p>
    <w:p w14:paraId="2D856D75" w14:textId="77777777" w:rsidR="001E5EFB" w:rsidRDefault="001E5EFB" w:rsidP="001E5EFB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E5EFB">
        <w:rPr>
          <w:rFonts w:cs="Arial"/>
          <w:sz w:val="22"/>
          <w:szCs w:val="22"/>
        </w:rPr>
        <w:t>Problem resolution should frequently require collaboration and coordination with units internal to the division, with occasional collaboration and coordination outside the division.</w:t>
      </w:r>
    </w:p>
    <w:p w14:paraId="72C4EB75" w14:textId="77777777" w:rsidR="008A7410" w:rsidRPr="001E5EFB" w:rsidRDefault="008A7410" w:rsidP="008A7410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0789CC10" w14:textId="77777777" w:rsidR="001E5EFB" w:rsidRPr="001E5EFB" w:rsidRDefault="001E5EFB" w:rsidP="001E5EFB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E5EFB">
        <w:rPr>
          <w:rFonts w:cs="Arial"/>
          <w:i/>
          <w:sz w:val="22"/>
          <w:szCs w:val="22"/>
        </w:rPr>
        <w:sym w:font="Wingdings" w:char="F0E0"/>
      </w:r>
      <w:r w:rsidRPr="001E5EFB">
        <w:rPr>
          <w:rFonts w:cs="Arial"/>
          <w:i/>
          <w:sz w:val="22"/>
          <w:szCs w:val="22"/>
        </w:rPr>
        <w:t xml:space="preserve"> Measure of Creativity</w:t>
      </w:r>
    </w:p>
    <w:p w14:paraId="4C662C4C" w14:textId="77777777" w:rsidR="001E5EFB" w:rsidRPr="001E5EFB" w:rsidRDefault="001E5EFB" w:rsidP="001E5EFB">
      <w:pPr>
        <w:numPr>
          <w:ilvl w:val="0"/>
          <w:numId w:val="23"/>
        </w:numPr>
        <w:tabs>
          <w:tab w:val="num" w:pos="720"/>
        </w:tabs>
        <w:spacing w:after="160" w:line="276" w:lineRule="auto"/>
        <w:rPr>
          <w:rFonts w:cs="Arial"/>
          <w:sz w:val="22"/>
          <w:szCs w:val="22"/>
        </w:rPr>
      </w:pPr>
      <w:r w:rsidRPr="001E5EFB">
        <w:rPr>
          <w:rFonts w:cs="Arial"/>
          <w:sz w:val="22"/>
          <w:szCs w:val="22"/>
        </w:rPr>
        <w:t>Incumbents are required to develop new policy for approval and conceptualize an implementation plan for new procedures or processes due to the new policy.</w:t>
      </w:r>
    </w:p>
    <w:p w14:paraId="06BE3914" w14:textId="77777777" w:rsidR="001E5EFB" w:rsidRPr="001E5EFB" w:rsidRDefault="001E5EFB" w:rsidP="001E5EFB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E5EFB">
        <w:rPr>
          <w:rFonts w:cs="Arial"/>
          <w:b/>
          <w:sz w:val="24"/>
          <w:szCs w:val="22"/>
        </w:rPr>
        <w:t>COMMUNICATION EXPECTATIONS</w:t>
      </w:r>
    </w:p>
    <w:p w14:paraId="4AA06318" w14:textId="77777777" w:rsidR="001E5EFB" w:rsidRPr="001E5EFB" w:rsidRDefault="001E5EFB" w:rsidP="001E5EFB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1E5EFB">
        <w:rPr>
          <w:rFonts w:cs="Arial"/>
          <w:i/>
          <w:sz w:val="22"/>
          <w:szCs w:val="22"/>
        </w:rPr>
        <w:sym w:font="Wingdings" w:char="F0E0"/>
      </w:r>
      <w:r w:rsidRPr="001E5EFB">
        <w:rPr>
          <w:rFonts w:cs="Arial"/>
          <w:i/>
          <w:sz w:val="22"/>
          <w:szCs w:val="22"/>
        </w:rPr>
        <w:t xml:space="preserve"> Manner of Delivery and Content</w:t>
      </w:r>
    </w:p>
    <w:p w14:paraId="06067DB8" w14:textId="77777777" w:rsidR="001E5EFB" w:rsidRPr="001E5EFB" w:rsidRDefault="001E5EFB" w:rsidP="001E5EFB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E5EFB">
        <w:rPr>
          <w:rFonts w:cs="Arial"/>
          <w:sz w:val="22"/>
          <w:szCs w:val="22"/>
        </w:rPr>
        <w:t>Deliver statements and information in a combined persuasive and motivational fashion to subordinate staff, departmental and University administrators, and the campus community as a whole.</w:t>
      </w:r>
    </w:p>
    <w:p w14:paraId="4211A1D5" w14:textId="77777777" w:rsidR="001E5EFB" w:rsidRPr="001E5EFB" w:rsidRDefault="001E5EFB" w:rsidP="001E5EFB">
      <w:pPr>
        <w:spacing w:line="276" w:lineRule="auto"/>
        <w:rPr>
          <w:rFonts w:cs="Arial"/>
          <w:sz w:val="22"/>
          <w:szCs w:val="22"/>
        </w:rPr>
      </w:pPr>
    </w:p>
    <w:p w14:paraId="397A45BE" w14:textId="77777777" w:rsidR="001E5EFB" w:rsidRPr="001E5EFB" w:rsidRDefault="001E5EFB" w:rsidP="001E5EFB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E5EFB">
        <w:rPr>
          <w:rFonts w:cs="Arial"/>
          <w:b/>
          <w:sz w:val="24"/>
          <w:szCs w:val="22"/>
        </w:rPr>
        <w:t>SCOPE AND MEASURABLE EFFECT</w:t>
      </w:r>
    </w:p>
    <w:p w14:paraId="22D249F0" w14:textId="77777777" w:rsidR="001E5EFB" w:rsidRPr="001E5EFB" w:rsidRDefault="001E5EFB" w:rsidP="001E5EFB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E5EFB">
        <w:rPr>
          <w:rFonts w:cs="Arial"/>
          <w:sz w:val="22"/>
          <w:szCs w:val="22"/>
        </w:rPr>
        <w:lastRenderedPageBreak/>
        <w:t>Manage a department of notable size, complexity, and significance that, in part, directly affects how well the organization to which the department belongs operates.</w:t>
      </w:r>
    </w:p>
    <w:p w14:paraId="786B53B3" w14:textId="77777777" w:rsidR="001E5EFB" w:rsidRPr="001E5EFB" w:rsidRDefault="001E5EFB" w:rsidP="001E5EFB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E5EFB">
        <w:rPr>
          <w:rFonts w:cs="Arial"/>
          <w:sz w:val="22"/>
          <w:szCs w:val="22"/>
        </w:rPr>
        <w:t xml:space="preserve">Actions regularly affect a department or a project outcome with division-wide impact.  </w:t>
      </w:r>
    </w:p>
    <w:p w14:paraId="48770039" w14:textId="77777777" w:rsidR="001E5EFB" w:rsidRPr="001E5EFB" w:rsidRDefault="001E5EFB" w:rsidP="001E5EFB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E5EFB">
        <w:rPr>
          <w:rFonts w:cs="Arial"/>
          <w:sz w:val="22"/>
          <w:szCs w:val="22"/>
        </w:rPr>
        <w:t xml:space="preserve">Actions generally have a direct impact on controlling such things as program scope, staff size and nature of work, scope of services, operating budget, etc. </w:t>
      </w:r>
    </w:p>
    <w:p w14:paraId="185070D6" w14:textId="77777777" w:rsidR="001E5EFB" w:rsidRPr="001E5EFB" w:rsidRDefault="001E5EFB" w:rsidP="001E5EFB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E5EFB">
        <w:rPr>
          <w:rFonts w:cs="Arial"/>
          <w:sz w:val="22"/>
          <w:szCs w:val="22"/>
        </w:rPr>
        <w:t>Actions may have high-risk financial, compliance, political or safety implications.</w:t>
      </w:r>
    </w:p>
    <w:p w14:paraId="61058B52" w14:textId="77777777" w:rsidR="001E5EFB" w:rsidRDefault="001E5EFB" w:rsidP="001E5EFB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E5EFB">
        <w:rPr>
          <w:rFonts w:cs="Arial"/>
          <w:sz w:val="22"/>
          <w:szCs w:val="22"/>
        </w:rPr>
        <w:t xml:space="preserve">Performance results tend to related to efficiency, degree of waste/cost overruns, quality/continuous improvement, timeliness, resource allocation/effectiveness, etc. </w:t>
      </w:r>
    </w:p>
    <w:p w14:paraId="2CBEB0DE" w14:textId="77777777" w:rsidR="00697C5B" w:rsidRPr="001E5EFB" w:rsidRDefault="001E5EFB" w:rsidP="001E5EFB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2A93F397" w14:textId="77777777" w:rsidR="00725B21" w:rsidRPr="00F816B1" w:rsidRDefault="00725B21" w:rsidP="00725B21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08F4B183" w14:textId="77777777" w:rsidR="00725B21" w:rsidRDefault="00725B21" w:rsidP="00725B21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2E4AB746" w14:textId="77777777" w:rsidR="00504F55" w:rsidRPr="00725B21" w:rsidRDefault="00504F55" w:rsidP="00725B21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725B21">
        <w:rPr>
          <w:rFonts w:asciiTheme="majorHAnsi" w:hAnsiTheme="majorHAnsi" w:cstheme="majorHAnsi"/>
          <w:b/>
          <w:color w:val="002060"/>
        </w:rPr>
        <w:t>GENERAL SUMMARY</w:t>
      </w:r>
    </w:p>
    <w:p w14:paraId="0365B341" w14:textId="77777777" w:rsidR="00504F55" w:rsidRPr="00D66D03" w:rsidRDefault="00A44140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A44140">
        <w:rPr>
          <w:rFonts w:asciiTheme="majorHAnsi" w:hAnsiTheme="majorHAnsi" w:cstheme="majorHAnsi"/>
          <w:sz w:val="22"/>
          <w:szCs w:val="22"/>
        </w:rPr>
        <w:t xml:space="preserve">Manages the </w:t>
      </w:r>
      <w:r w:rsidR="00446D9B">
        <w:rPr>
          <w:rFonts w:asciiTheme="majorHAnsi" w:hAnsiTheme="majorHAnsi" w:cstheme="majorHAnsi"/>
          <w:sz w:val="22"/>
          <w:szCs w:val="22"/>
        </w:rPr>
        <w:t xml:space="preserve">programmatic and </w:t>
      </w:r>
      <w:r w:rsidR="003039B4">
        <w:rPr>
          <w:rFonts w:asciiTheme="majorHAnsi" w:hAnsiTheme="majorHAnsi" w:cstheme="majorHAnsi"/>
          <w:sz w:val="22"/>
          <w:szCs w:val="22"/>
        </w:rPr>
        <w:t>administrative</w:t>
      </w:r>
      <w:r w:rsidRPr="00A44140">
        <w:rPr>
          <w:rFonts w:asciiTheme="majorHAnsi" w:hAnsiTheme="majorHAnsi" w:cstheme="majorHAnsi"/>
          <w:sz w:val="22"/>
          <w:szCs w:val="22"/>
        </w:rPr>
        <w:t xml:space="preserve"> operations</w:t>
      </w:r>
      <w:r w:rsidR="00E75798">
        <w:rPr>
          <w:rFonts w:asciiTheme="majorHAnsi" w:hAnsiTheme="majorHAnsi" w:cstheme="majorHAnsi"/>
          <w:sz w:val="22"/>
          <w:szCs w:val="22"/>
        </w:rPr>
        <w:t xml:space="preserve"> </w:t>
      </w:r>
      <w:r w:rsidR="0024342D">
        <w:rPr>
          <w:rFonts w:asciiTheme="majorHAnsi" w:hAnsiTheme="majorHAnsi" w:cstheme="majorHAnsi"/>
          <w:sz w:val="22"/>
          <w:szCs w:val="22"/>
        </w:rPr>
        <w:t xml:space="preserve">and staff </w:t>
      </w:r>
      <w:r w:rsidR="00E75798">
        <w:rPr>
          <w:rFonts w:asciiTheme="majorHAnsi" w:hAnsiTheme="majorHAnsi" w:cstheme="majorHAnsi"/>
          <w:sz w:val="22"/>
          <w:szCs w:val="22"/>
        </w:rPr>
        <w:t>for any of the service areas within the</w:t>
      </w:r>
      <w:r w:rsidR="003F660C">
        <w:rPr>
          <w:rFonts w:asciiTheme="majorHAnsi" w:hAnsiTheme="majorHAnsi" w:cstheme="majorHAnsi"/>
          <w:sz w:val="22"/>
          <w:szCs w:val="22"/>
        </w:rPr>
        <w:t xml:space="preserve"> Office of the</w:t>
      </w:r>
      <w:r w:rsidR="00E75798">
        <w:rPr>
          <w:rFonts w:asciiTheme="majorHAnsi" w:hAnsiTheme="majorHAnsi" w:cstheme="majorHAnsi"/>
          <w:sz w:val="22"/>
          <w:szCs w:val="22"/>
        </w:rPr>
        <w:t xml:space="preserve"> Registrar, such as degree audit, scheduling, compliance, records, enrollment and systems.  </w:t>
      </w:r>
    </w:p>
    <w:p w14:paraId="6F9A6847" w14:textId="77777777" w:rsidR="00504F55" w:rsidRPr="00725B21" w:rsidRDefault="00504F55" w:rsidP="00725B2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725B21">
        <w:rPr>
          <w:rFonts w:asciiTheme="majorHAnsi" w:hAnsiTheme="majorHAnsi" w:cstheme="majorHAnsi"/>
          <w:b/>
          <w:color w:val="002060"/>
        </w:rPr>
        <w:t>R</w:t>
      </w:r>
      <w:r w:rsidR="00837287">
        <w:rPr>
          <w:rFonts w:asciiTheme="majorHAnsi" w:hAnsiTheme="majorHAnsi" w:cstheme="majorHAnsi"/>
          <w:b/>
          <w:color w:val="002060"/>
        </w:rPr>
        <w:t>EPORTING RELATIONSHIPS AND TEAM</w:t>
      </w:r>
      <w:r w:rsidRPr="00725B21">
        <w:rPr>
          <w:rFonts w:asciiTheme="majorHAnsi" w:hAnsiTheme="majorHAnsi" w:cstheme="majorHAnsi"/>
          <w:b/>
          <w:color w:val="002060"/>
        </w:rPr>
        <w:t>WORK</w:t>
      </w:r>
    </w:p>
    <w:p w14:paraId="119F5751" w14:textId="77777777" w:rsidR="00504F55" w:rsidRPr="002E0828" w:rsidRDefault="002E0828" w:rsidP="002E0828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2E0828">
        <w:rPr>
          <w:rFonts w:asciiTheme="majorHAnsi" w:hAnsiTheme="majorHAnsi" w:cstheme="majorHAnsi"/>
          <w:sz w:val="22"/>
          <w:szCs w:val="22"/>
        </w:rPr>
        <w:t>Works under</w:t>
      </w:r>
      <w:r w:rsidR="008E3002">
        <w:rPr>
          <w:rFonts w:asciiTheme="majorHAnsi" w:hAnsiTheme="majorHAnsi" w:cstheme="majorHAnsi"/>
          <w:sz w:val="22"/>
          <w:szCs w:val="22"/>
        </w:rPr>
        <w:t xml:space="preserve"> the general</w:t>
      </w:r>
      <w:r w:rsidRPr="002E0828">
        <w:rPr>
          <w:rFonts w:asciiTheme="majorHAnsi" w:hAnsiTheme="majorHAnsi" w:cstheme="majorHAnsi"/>
          <w:sz w:val="22"/>
          <w:szCs w:val="22"/>
        </w:rPr>
        <w:t xml:space="preserve"> </w:t>
      </w:r>
      <w:r w:rsidR="00E75798">
        <w:rPr>
          <w:rFonts w:asciiTheme="majorHAnsi" w:hAnsiTheme="majorHAnsi" w:cstheme="majorHAnsi"/>
          <w:sz w:val="22"/>
          <w:szCs w:val="22"/>
        </w:rPr>
        <w:t>direction of the University Registrar</w:t>
      </w:r>
      <w:r w:rsidR="0024342D">
        <w:rPr>
          <w:rFonts w:asciiTheme="majorHAnsi" w:hAnsiTheme="majorHAnsi" w:cstheme="majorHAnsi"/>
          <w:sz w:val="22"/>
          <w:szCs w:val="22"/>
        </w:rPr>
        <w:t>.  Manag</w:t>
      </w:r>
      <w:r w:rsidRPr="002E0828">
        <w:rPr>
          <w:rFonts w:asciiTheme="majorHAnsi" w:hAnsiTheme="majorHAnsi" w:cstheme="majorHAnsi"/>
          <w:sz w:val="22"/>
          <w:szCs w:val="22"/>
        </w:rPr>
        <w:t xml:space="preserve">es professional and non-professional staff, as well as </w:t>
      </w:r>
      <w:r w:rsidR="002401DB">
        <w:rPr>
          <w:rFonts w:asciiTheme="majorHAnsi" w:hAnsiTheme="majorHAnsi" w:cstheme="majorHAnsi"/>
          <w:sz w:val="22"/>
          <w:szCs w:val="22"/>
        </w:rPr>
        <w:t xml:space="preserve">the administrative and </w:t>
      </w:r>
      <w:r w:rsidR="003039B4">
        <w:rPr>
          <w:rFonts w:asciiTheme="majorHAnsi" w:hAnsiTheme="majorHAnsi" w:cstheme="majorHAnsi"/>
          <w:sz w:val="22"/>
          <w:szCs w:val="22"/>
        </w:rPr>
        <w:t>business</w:t>
      </w:r>
      <w:r w:rsidR="00E75798">
        <w:rPr>
          <w:rFonts w:asciiTheme="majorHAnsi" w:hAnsiTheme="majorHAnsi" w:cstheme="majorHAnsi"/>
          <w:sz w:val="22"/>
          <w:szCs w:val="22"/>
        </w:rPr>
        <w:t xml:space="preserve"> operations of a specific R</w:t>
      </w:r>
      <w:r w:rsidR="002401DB">
        <w:rPr>
          <w:rFonts w:asciiTheme="majorHAnsi" w:hAnsiTheme="majorHAnsi" w:cstheme="majorHAnsi"/>
          <w:sz w:val="22"/>
          <w:szCs w:val="22"/>
        </w:rPr>
        <w:t xml:space="preserve">egistrar work unit.  </w:t>
      </w:r>
    </w:p>
    <w:p w14:paraId="28E58B14" w14:textId="77777777" w:rsidR="00504F55" w:rsidRPr="00725B21" w:rsidRDefault="00504F55" w:rsidP="00725B2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725B21">
        <w:rPr>
          <w:rFonts w:asciiTheme="majorHAnsi" w:hAnsiTheme="majorHAnsi" w:cstheme="majorHAnsi"/>
          <w:b/>
          <w:color w:val="002060"/>
        </w:rPr>
        <w:t>ESSENTIAL DUTIES</w:t>
      </w:r>
      <w:r w:rsidR="00837287">
        <w:rPr>
          <w:rFonts w:asciiTheme="majorHAnsi" w:hAnsiTheme="majorHAnsi" w:cstheme="majorHAnsi"/>
          <w:b/>
          <w:color w:val="002060"/>
        </w:rPr>
        <w:t xml:space="preserve"> AND</w:t>
      </w:r>
      <w:r w:rsidRPr="00725B21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09155124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2E0828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11D68183" w14:textId="77777777" w:rsidR="00724FAC" w:rsidRPr="0024342D" w:rsidRDefault="00724FAC" w:rsidP="00724FA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4342D">
        <w:rPr>
          <w:rFonts w:asciiTheme="majorHAnsi" w:hAnsiTheme="majorHAnsi" w:cstheme="majorHAnsi"/>
          <w:sz w:val="22"/>
          <w:szCs w:val="22"/>
        </w:rPr>
        <w:t>Interfaces with internal and external partners, leadership, and subject matter experts to identify key issues, develop recommendations, and implement project plans.</w:t>
      </w:r>
    </w:p>
    <w:p w14:paraId="6D33313D" w14:textId="77777777" w:rsidR="00835270" w:rsidRPr="0024342D" w:rsidRDefault="00835270" w:rsidP="0083527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4342D">
        <w:rPr>
          <w:rFonts w:asciiTheme="majorHAnsi" w:hAnsiTheme="majorHAnsi" w:cstheme="majorHAnsi"/>
          <w:sz w:val="22"/>
          <w:szCs w:val="22"/>
        </w:rPr>
        <w:t xml:space="preserve">Participates in the strategic and operational development and management of the implementation of new initiatives, requiring the coordination among staff and across University offices.  </w:t>
      </w:r>
    </w:p>
    <w:p w14:paraId="5FF4E945" w14:textId="77777777" w:rsidR="00A44140" w:rsidRPr="0024342D" w:rsidRDefault="00835270" w:rsidP="0028141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4342D">
        <w:rPr>
          <w:rFonts w:asciiTheme="majorHAnsi" w:hAnsiTheme="majorHAnsi" w:cstheme="majorHAnsi"/>
          <w:sz w:val="22"/>
          <w:szCs w:val="22"/>
        </w:rPr>
        <w:t>Participates in hiring,</w:t>
      </w:r>
      <w:r w:rsidR="00A44140" w:rsidRPr="0024342D">
        <w:rPr>
          <w:rFonts w:asciiTheme="majorHAnsi" w:hAnsiTheme="majorHAnsi" w:cstheme="majorHAnsi"/>
          <w:sz w:val="22"/>
          <w:szCs w:val="22"/>
        </w:rPr>
        <w:t xml:space="preserve"> training, supervising, and evaluating the professional and support staff, in their area</w:t>
      </w:r>
      <w:r w:rsidR="001047FF" w:rsidRPr="0024342D">
        <w:rPr>
          <w:rFonts w:asciiTheme="majorHAnsi" w:hAnsiTheme="majorHAnsi" w:cstheme="majorHAnsi"/>
          <w:sz w:val="22"/>
          <w:szCs w:val="22"/>
        </w:rPr>
        <w:t>(</w:t>
      </w:r>
      <w:r w:rsidR="00A44140" w:rsidRPr="0024342D">
        <w:rPr>
          <w:rFonts w:asciiTheme="majorHAnsi" w:hAnsiTheme="majorHAnsi" w:cstheme="majorHAnsi"/>
          <w:sz w:val="22"/>
          <w:szCs w:val="22"/>
        </w:rPr>
        <w:t>s</w:t>
      </w:r>
      <w:r w:rsidR="001047FF" w:rsidRPr="0024342D">
        <w:rPr>
          <w:rFonts w:asciiTheme="majorHAnsi" w:hAnsiTheme="majorHAnsi" w:cstheme="majorHAnsi"/>
          <w:sz w:val="22"/>
          <w:szCs w:val="22"/>
        </w:rPr>
        <w:t>)</w:t>
      </w:r>
      <w:r w:rsidRPr="0024342D">
        <w:rPr>
          <w:rFonts w:asciiTheme="majorHAnsi" w:hAnsiTheme="majorHAnsi" w:cstheme="majorHAnsi"/>
          <w:sz w:val="22"/>
          <w:szCs w:val="22"/>
        </w:rPr>
        <w:t xml:space="preserve"> of responsibility and supervises subordinate staff in hiring, training, supervising, and evaluating the professional and support staff, in their area(s) of responsibility</w:t>
      </w:r>
    </w:p>
    <w:p w14:paraId="51A5DC80" w14:textId="77777777" w:rsidR="008F5C30" w:rsidRPr="0024342D" w:rsidRDefault="00724FAC" w:rsidP="0070540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4342D">
        <w:rPr>
          <w:rFonts w:asciiTheme="majorHAnsi" w:hAnsiTheme="majorHAnsi" w:cstheme="majorHAnsi"/>
          <w:sz w:val="22"/>
          <w:szCs w:val="22"/>
        </w:rPr>
        <w:t>Manages</w:t>
      </w:r>
      <w:r w:rsidR="00E75798" w:rsidRPr="0024342D">
        <w:rPr>
          <w:rFonts w:asciiTheme="majorHAnsi" w:hAnsiTheme="majorHAnsi" w:cstheme="majorHAnsi"/>
          <w:sz w:val="22"/>
          <w:szCs w:val="22"/>
        </w:rPr>
        <w:t xml:space="preserve"> staff responsible for maintaining</w:t>
      </w:r>
      <w:r w:rsidR="00A44140" w:rsidRPr="0024342D">
        <w:rPr>
          <w:rFonts w:asciiTheme="majorHAnsi" w:hAnsiTheme="majorHAnsi" w:cstheme="majorHAnsi"/>
          <w:sz w:val="22"/>
          <w:szCs w:val="22"/>
        </w:rPr>
        <w:t xml:space="preserve"> internal office files, records, and data collections. </w:t>
      </w:r>
      <w:r w:rsidR="00E75798" w:rsidRPr="0024342D">
        <w:rPr>
          <w:rFonts w:asciiTheme="majorHAnsi" w:hAnsiTheme="majorHAnsi" w:cstheme="majorHAnsi"/>
          <w:sz w:val="22"/>
          <w:szCs w:val="22"/>
        </w:rPr>
        <w:t>Accountable for all</w:t>
      </w:r>
      <w:r w:rsidR="00A44140" w:rsidRPr="0024342D">
        <w:rPr>
          <w:rFonts w:asciiTheme="majorHAnsi" w:hAnsiTheme="majorHAnsi" w:cstheme="majorHAnsi"/>
          <w:sz w:val="22"/>
          <w:szCs w:val="22"/>
        </w:rPr>
        <w:t xml:space="preserve"> aspects of altering registrar data collection materials and forms used by external and internal constituents.</w:t>
      </w:r>
    </w:p>
    <w:p w14:paraId="6308EB92" w14:textId="77777777" w:rsidR="00724FAC" w:rsidRPr="0024342D" w:rsidRDefault="00724FAC" w:rsidP="00724FA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4342D">
        <w:rPr>
          <w:rFonts w:asciiTheme="majorHAnsi" w:hAnsiTheme="majorHAnsi" w:cstheme="majorHAnsi"/>
          <w:sz w:val="22"/>
          <w:szCs w:val="22"/>
        </w:rPr>
        <w:t>Performs complex data analysis and develops solutions that serve students, faculty</w:t>
      </w:r>
      <w:r w:rsidR="001047FF" w:rsidRPr="0024342D">
        <w:rPr>
          <w:rFonts w:asciiTheme="majorHAnsi" w:hAnsiTheme="majorHAnsi" w:cstheme="majorHAnsi"/>
          <w:sz w:val="22"/>
          <w:szCs w:val="22"/>
        </w:rPr>
        <w:t>, and</w:t>
      </w:r>
      <w:r w:rsidRPr="0024342D">
        <w:rPr>
          <w:rFonts w:asciiTheme="majorHAnsi" w:hAnsiTheme="majorHAnsi" w:cstheme="majorHAnsi"/>
          <w:sz w:val="22"/>
          <w:szCs w:val="22"/>
        </w:rPr>
        <w:t xml:space="preserve"> staff</w:t>
      </w:r>
      <w:r w:rsidR="001047FF" w:rsidRPr="0024342D">
        <w:rPr>
          <w:rFonts w:asciiTheme="majorHAnsi" w:hAnsiTheme="majorHAnsi" w:cstheme="majorHAnsi"/>
          <w:sz w:val="22"/>
          <w:szCs w:val="22"/>
        </w:rPr>
        <w:t>.</w:t>
      </w:r>
    </w:p>
    <w:p w14:paraId="68422E68" w14:textId="77777777" w:rsidR="00E75798" w:rsidRPr="0024342D" w:rsidRDefault="00E75798" w:rsidP="00C91AE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4342D">
        <w:rPr>
          <w:rFonts w:asciiTheme="majorHAnsi" w:hAnsiTheme="majorHAnsi" w:cstheme="majorHAnsi"/>
          <w:sz w:val="22"/>
          <w:szCs w:val="22"/>
        </w:rPr>
        <w:t>Streamlines and standardizes business processes while developing an environment of continuous process improvement.</w:t>
      </w:r>
      <w:r w:rsidR="00724FAC" w:rsidRPr="0024342D">
        <w:rPr>
          <w:rFonts w:asciiTheme="majorHAnsi" w:hAnsiTheme="majorHAnsi" w:cstheme="majorHAnsi"/>
          <w:sz w:val="22"/>
          <w:szCs w:val="22"/>
        </w:rPr>
        <w:t xml:space="preserve"> Works collaboratively with academic and administrative members of the University to review and improve policy and procedure.</w:t>
      </w:r>
    </w:p>
    <w:p w14:paraId="4DFB3AF9" w14:textId="77777777" w:rsidR="006C7AF0" w:rsidRPr="0024342D" w:rsidRDefault="006C7AF0" w:rsidP="008C3A5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4342D">
        <w:rPr>
          <w:rFonts w:asciiTheme="majorHAnsi" w:hAnsiTheme="majorHAnsi" w:cstheme="majorHAnsi"/>
          <w:sz w:val="22"/>
          <w:szCs w:val="22"/>
        </w:rPr>
        <w:t>Monitors and enforces compliance with University policies and by-laws regarding assigned essential registration function.</w:t>
      </w:r>
      <w:r w:rsidR="00724FAC" w:rsidRPr="0024342D">
        <w:rPr>
          <w:rFonts w:asciiTheme="majorHAnsi" w:hAnsiTheme="majorHAnsi" w:cstheme="majorHAnsi"/>
          <w:sz w:val="22"/>
          <w:szCs w:val="22"/>
        </w:rPr>
        <w:t xml:space="preserve">  </w:t>
      </w:r>
      <w:r w:rsidR="008C3A54" w:rsidRPr="0024342D">
        <w:rPr>
          <w:rFonts w:asciiTheme="majorHAnsi" w:hAnsiTheme="majorHAnsi" w:cstheme="majorHAnsi"/>
          <w:sz w:val="22"/>
          <w:szCs w:val="22"/>
        </w:rPr>
        <w:t xml:space="preserve">Oversees and enforces compliance with University policy </w:t>
      </w:r>
      <w:r w:rsidR="008C3A54" w:rsidRPr="0024342D">
        <w:rPr>
          <w:rFonts w:asciiTheme="majorHAnsi" w:hAnsiTheme="majorHAnsi" w:cstheme="majorHAnsi"/>
          <w:sz w:val="22"/>
          <w:szCs w:val="22"/>
        </w:rPr>
        <w:lastRenderedPageBreak/>
        <w:t>and by-laws, state and federal regulatory guidance and legislation and regional accreditation requirements. Manages and responds to requests from auditors or similar parties.</w:t>
      </w:r>
    </w:p>
    <w:p w14:paraId="3A125194" w14:textId="77777777" w:rsidR="009074AB" w:rsidRPr="0024342D" w:rsidRDefault="00724FAC" w:rsidP="009074A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4342D">
        <w:rPr>
          <w:rFonts w:asciiTheme="majorHAnsi" w:hAnsiTheme="majorHAnsi" w:cstheme="majorHAnsi"/>
          <w:sz w:val="22"/>
          <w:szCs w:val="22"/>
        </w:rPr>
        <w:t xml:space="preserve">Creates and manages relationships with business partners across the </w:t>
      </w:r>
      <w:r w:rsidR="001047FF" w:rsidRPr="0024342D">
        <w:rPr>
          <w:rFonts w:asciiTheme="majorHAnsi" w:hAnsiTheme="majorHAnsi" w:cstheme="majorHAnsi"/>
          <w:sz w:val="22"/>
          <w:szCs w:val="22"/>
        </w:rPr>
        <w:t>U</w:t>
      </w:r>
      <w:r w:rsidRPr="0024342D">
        <w:rPr>
          <w:rFonts w:asciiTheme="majorHAnsi" w:hAnsiTheme="majorHAnsi" w:cstheme="majorHAnsi"/>
          <w:sz w:val="22"/>
          <w:szCs w:val="22"/>
        </w:rPr>
        <w:t xml:space="preserve">niversity community to improve business processes.  </w:t>
      </w:r>
    </w:p>
    <w:p w14:paraId="6BD05C8D" w14:textId="77777777" w:rsidR="00724FAC" w:rsidRPr="0024342D" w:rsidRDefault="009074AB" w:rsidP="009074A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4342D">
        <w:rPr>
          <w:rFonts w:asciiTheme="majorHAnsi" w:hAnsiTheme="majorHAnsi" w:cstheme="majorHAnsi"/>
          <w:sz w:val="22"/>
          <w:szCs w:val="22"/>
        </w:rPr>
        <w:t>Represents the office and the registrar function on various campus and university-wide committees, task forces, meetings and is an active participant in shared governance</w:t>
      </w:r>
      <w:r w:rsidR="003039B4">
        <w:rPr>
          <w:rFonts w:asciiTheme="majorHAnsi" w:hAnsiTheme="majorHAnsi" w:cstheme="majorHAnsi"/>
          <w:sz w:val="22"/>
          <w:szCs w:val="22"/>
        </w:rPr>
        <w:t>.</w:t>
      </w:r>
    </w:p>
    <w:p w14:paraId="337B797F" w14:textId="77777777" w:rsidR="00835270" w:rsidRPr="0024342D" w:rsidRDefault="00835270" w:rsidP="0083527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="Calibri Light"/>
          <w:sz w:val="22"/>
          <w:szCs w:val="22"/>
        </w:rPr>
      </w:pPr>
      <w:r w:rsidRPr="0024342D">
        <w:rPr>
          <w:rFonts w:asciiTheme="majorHAnsi" w:hAnsiTheme="majorHAnsi" w:cs="Calibri Light"/>
          <w:sz w:val="22"/>
          <w:szCs w:val="22"/>
        </w:rPr>
        <w:t>Interpret</w:t>
      </w:r>
      <w:r w:rsidR="003039B4">
        <w:rPr>
          <w:rFonts w:asciiTheme="majorHAnsi" w:hAnsiTheme="majorHAnsi" w:cs="Calibri Light"/>
          <w:sz w:val="22"/>
          <w:szCs w:val="22"/>
        </w:rPr>
        <w:t>s</w:t>
      </w:r>
      <w:r w:rsidRPr="0024342D">
        <w:rPr>
          <w:rFonts w:asciiTheme="majorHAnsi" w:hAnsiTheme="majorHAnsi" w:cs="Calibri Light"/>
          <w:sz w:val="22"/>
          <w:szCs w:val="22"/>
        </w:rPr>
        <w:t xml:space="preserve"> and explain</w:t>
      </w:r>
      <w:r w:rsidR="003039B4">
        <w:rPr>
          <w:rFonts w:asciiTheme="majorHAnsi" w:hAnsiTheme="majorHAnsi" w:cs="Calibri Light"/>
          <w:sz w:val="22"/>
          <w:szCs w:val="22"/>
        </w:rPr>
        <w:t>s</w:t>
      </w:r>
      <w:r w:rsidRPr="0024342D">
        <w:rPr>
          <w:rFonts w:asciiTheme="majorHAnsi" w:hAnsiTheme="majorHAnsi" w:cs="Calibri Light"/>
          <w:sz w:val="22"/>
          <w:szCs w:val="22"/>
        </w:rPr>
        <w:t xml:space="preserve"> Office of the Registrar policies and procedures, respond</w:t>
      </w:r>
      <w:r w:rsidR="003039B4">
        <w:rPr>
          <w:rFonts w:asciiTheme="majorHAnsi" w:hAnsiTheme="majorHAnsi" w:cs="Calibri Light"/>
          <w:sz w:val="22"/>
          <w:szCs w:val="22"/>
        </w:rPr>
        <w:t>s</w:t>
      </w:r>
      <w:r w:rsidRPr="0024342D">
        <w:rPr>
          <w:rFonts w:asciiTheme="majorHAnsi" w:hAnsiTheme="majorHAnsi" w:cs="Calibri Light"/>
          <w:sz w:val="22"/>
          <w:szCs w:val="22"/>
        </w:rPr>
        <w:t xml:space="preserve"> to inquiries for information, and makes referrals to other </w:t>
      </w:r>
      <w:r w:rsidR="00250F8A" w:rsidRPr="0024342D">
        <w:rPr>
          <w:rFonts w:asciiTheme="majorHAnsi" w:hAnsiTheme="majorHAnsi" w:cs="Calibri Light"/>
          <w:sz w:val="22"/>
          <w:szCs w:val="22"/>
        </w:rPr>
        <w:t>University offices as necessary, participates in the refinement or development of new policies and procedures, both internal (to the office) and external (to the University)</w:t>
      </w:r>
      <w:r w:rsidR="003039B4">
        <w:rPr>
          <w:rFonts w:asciiTheme="majorHAnsi" w:hAnsiTheme="majorHAnsi" w:cs="Calibri Light"/>
          <w:sz w:val="22"/>
          <w:szCs w:val="22"/>
        </w:rPr>
        <w:t>.</w:t>
      </w:r>
    </w:p>
    <w:p w14:paraId="22F0C2BF" w14:textId="77777777" w:rsidR="00A44140" w:rsidRPr="0024342D" w:rsidRDefault="00A44140" w:rsidP="00A4414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4342D">
        <w:rPr>
          <w:rFonts w:asciiTheme="majorHAnsi" w:hAnsiTheme="majorHAnsi" w:cstheme="majorHAnsi"/>
          <w:sz w:val="22"/>
          <w:szCs w:val="22"/>
        </w:rPr>
        <w:t>Participates in professional and technical conferences and workshops.</w:t>
      </w:r>
    </w:p>
    <w:p w14:paraId="096BE96A" w14:textId="77777777" w:rsidR="00504F55" w:rsidRPr="0024342D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4342D">
        <w:rPr>
          <w:rFonts w:asciiTheme="majorHAnsi" w:hAnsiTheme="majorHAnsi" w:cstheme="majorHAnsi"/>
          <w:sz w:val="22"/>
          <w:szCs w:val="22"/>
        </w:rPr>
        <w:t>Perform</w:t>
      </w:r>
      <w:r w:rsidR="00B025E6" w:rsidRPr="0024342D">
        <w:rPr>
          <w:rFonts w:asciiTheme="majorHAnsi" w:hAnsiTheme="majorHAnsi" w:cstheme="majorHAnsi"/>
          <w:sz w:val="22"/>
          <w:szCs w:val="22"/>
        </w:rPr>
        <w:t>s</w:t>
      </w:r>
      <w:r w:rsidRPr="0024342D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 w:rsidRPr="0024342D">
        <w:rPr>
          <w:rFonts w:asciiTheme="majorHAnsi" w:hAnsiTheme="majorHAnsi" w:cstheme="majorHAnsi"/>
          <w:sz w:val="22"/>
          <w:szCs w:val="22"/>
        </w:rPr>
        <w:t>.</w:t>
      </w:r>
    </w:p>
    <w:p w14:paraId="0BE63AB0" w14:textId="77777777" w:rsidR="008C3A54" w:rsidRPr="00065D64" w:rsidRDefault="008C3A54" w:rsidP="008A741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065D64">
        <w:rPr>
          <w:rFonts w:asciiTheme="majorHAnsi" w:hAnsiTheme="majorHAnsi" w:cstheme="majorHAnsi"/>
          <w:sz w:val="22"/>
          <w:szCs w:val="22"/>
        </w:rPr>
        <w:t>Will be assigned to one or more areas of specialty in the Office of the Registrar. Specialized tasks may include functions related to:</w:t>
      </w:r>
    </w:p>
    <w:p w14:paraId="1A6627BD" w14:textId="77777777" w:rsidR="008C3A54" w:rsidRDefault="008C3A54" w:rsidP="008A7410">
      <w:pPr>
        <w:pStyle w:val="BodyText"/>
        <w:numPr>
          <w:ilvl w:val="1"/>
          <w:numId w:val="24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Records, record-keeping and data retention</w:t>
      </w:r>
    </w:p>
    <w:p w14:paraId="5C0F412B" w14:textId="77777777" w:rsidR="008C3A54" w:rsidRDefault="008C3A54" w:rsidP="008A7410">
      <w:pPr>
        <w:pStyle w:val="BodyText"/>
        <w:numPr>
          <w:ilvl w:val="1"/>
          <w:numId w:val="24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Student registration and direct student support</w:t>
      </w:r>
    </w:p>
    <w:p w14:paraId="504401B6" w14:textId="77777777" w:rsidR="008C3A54" w:rsidRDefault="008C3A54" w:rsidP="008A7410">
      <w:pPr>
        <w:pStyle w:val="BodyText"/>
        <w:numPr>
          <w:ilvl w:val="1"/>
          <w:numId w:val="24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Degree audit and conferral</w:t>
      </w:r>
    </w:p>
    <w:p w14:paraId="5C027CF4" w14:textId="77777777" w:rsidR="008C3A54" w:rsidRDefault="008C3A54" w:rsidP="008A7410">
      <w:pPr>
        <w:pStyle w:val="BodyText"/>
        <w:numPr>
          <w:ilvl w:val="1"/>
          <w:numId w:val="24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NCAA and/or Title IV compliance</w:t>
      </w:r>
    </w:p>
    <w:p w14:paraId="668094AC" w14:textId="77777777" w:rsidR="008C3A54" w:rsidRDefault="008C3A54" w:rsidP="008A7410">
      <w:pPr>
        <w:pStyle w:val="BodyText"/>
        <w:numPr>
          <w:ilvl w:val="1"/>
          <w:numId w:val="24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Schedule of classes and final exams</w:t>
      </w:r>
    </w:p>
    <w:p w14:paraId="6DD48A3C" w14:textId="77777777" w:rsidR="008C3A54" w:rsidRDefault="008C3A54" w:rsidP="008A7410">
      <w:pPr>
        <w:pStyle w:val="BodyText"/>
        <w:numPr>
          <w:ilvl w:val="1"/>
          <w:numId w:val="24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Catalog and curriculum management</w:t>
      </w:r>
    </w:p>
    <w:p w14:paraId="0DC81464" w14:textId="77777777" w:rsidR="00725B21" w:rsidRPr="008A7410" w:rsidRDefault="008C3A54" w:rsidP="00725B21">
      <w:pPr>
        <w:pStyle w:val="BodyText"/>
        <w:numPr>
          <w:ilvl w:val="1"/>
          <w:numId w:val="24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Business and systems responsibilities that support the operational functions of   the Office of the Registrar</w:t>
      </w:r>
    </w:p>
    <w:p w14:paraId="4FC2E5B7" w14:textId="77777777" w:rsidR="00504F55" w:rsidRPr="00725B21" w:rsidRDefault="00D66D03" w:rsidP="00725B2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725B21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725B21">
        <w:rPr>
          <w:rFonts w:asciiTheme="majorHAnsi" w:hAnsiTheme="majorHAnsi" w:cstheme="majorHAnsi"/>
          <w:b/>
          <w:color w:val="002060"/>
        </w:rPr>
        <w:t>QUALIFICATIONS</w:t>
      </w:r>
    </w:p>
    <w:p w14:paraId="02F38FD3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4E14C2C" w14:textId="77777777" w:rsidR="00501982" w:rsidRDefault="00724FAC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Seven</w:t>
      </w:r>
      <w:r w:rsidR="006C7AF0">
        <w:rPr>
          <w:rFonts w:asciiTheme="majorHAnsi" w:hAnsiTheme="majorHAnsi" w:cstheme="majorHAnsi"/>
          <w:sz w:val="22"/>
          <w:szCs w:val="22"/>
        </w:rPr>
        <w:t xml:space="preserve"> years of related experience.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24FAC">
        <w:rPr>
          <w:rFonts w:asciiTheme="majorHAnsi" w:hAnsiTheme="majorHAnsi" w:cstheme="majorHAnsi"/>
          <w:sz w:val="22"/>
          <w:szCs w:val="22"/>
        </w:rPr>
        <w:t>One year’s experience must be: (1) overseeing large projects OR (2) in a supervisory capacity over a small unit</w:t>
      </w:r>
      <w:r w:rsidR="001047FF">
        <w:rPr>
          <w:rFonts w:asciiTheme="majorHAnsi" w:hAnsiTheme="majorHAnsi" w:cstheme="majorHAnsi"/>
          <w:sz w:val="22"/>
          <w:szCs w:val="22"/>
        </w:rPr>
        <w:t>.</w:t>
      </w:r>
    </w:p>
    <w:p w14:paraId="62340881" w14:textId="77777777" w:rsidR="00724FAC" w:rsidRDefault="00F16F21" w:rsidP="00724FAC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</w:t>
      </w:r>
    </w:p>
    <w:p w14:paraId="01372983" w14:textId="77777777" w:rsidR="00F16F21" w:rsidRDefault="00F16F21" w:rsidP="00F16F21">
      <w:pPr>
        <w:pStyle w:val="BodyText"/>
        <w:numPr>
          <w:ilvl w:val="0"/>
          <w:numId w:val="18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 advanced degree in a related field</w:t>
      </w:r>
    </w:p>
    <w:p w14:paraId="3C40489A" w14:textId="77777777" w:rsidR="00F16F21" w:rsidRDefault="00F16F21" w:rsidP="00F16F21">
      <w:pPr>
        <w:pStyle w:val="BodyText"/>
        <w:numPr>
          <w:ilvl w:val="0"/>
          <w:numId w:val="18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Five years of related experience.  </w:t>
      </w:r>
      <w:r w:rsidRPr="00724FAC">
        <w:rPr>
          <w:rFonts w:asciiTheme="majorHAnsi" w:hAnsiTheme="majorHAnsi" w:cstheme="majorHAnsi"/>
          <w:sz w:val="22"/>
          <w:szCs w:val="22"/>
        </w:rPr>
        <w:t>One year’s experience must be: (1) overseeing large projects OR (2) in a supervisory capacity over a small unit</w:t>
      </w:r>
      <w:r w:rsidR="001047FF">
        <w:rPr>
          <w:rFonts w:asciiTheme="majorHAnsi" w:hAnsiTheme="majorHAnsi" w:cstheme="majorHAnsi"/>
          <w:sz w:val="22"/>
          <w:szCs w:val="22"/>
        </w:rPr>
        <w:t>.</w:t>
      </w:r>
    </w:p>
    <w:p w14:paraId="092E16C3" w14:textId="77777777" w:rsidR="00504F55" w:rsidRPr="00725B21" w:rsidRDefault="00504F55" w:rsidP="00725B21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725B21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482BFB79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5A5B397B" w14:textId="77777777" w:rsidR="00A44140" w:rsidRDefault="00A44140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employee supervision</w:t>
      </w:r>
    </w:p>
    <w:p w14:paraId="78B90C6E" w14:textId="77777777" w:rsidR="00504F55" w:rsidRDefault="006C7AF0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Practices and procedures of student registration</w:t>
      </w:r>
      <w:r w:rsidR="00F16F21">
        <w:rPr>
          <w:rFonts w:asciiTheme="majorHAnsi" w:hAnsiTheme="majorHAnsi" w:cstheme="majorHAnsi"/>
          <w:sz w:val="22"/>
          <w:szCs w:val="22"/>
        </w:rPr>
        <w:t>, considerable knowledge required</w:t>
      </w:r>
    </w:p>
    <w:p w14:paraId="6E1ED59D" w14:textId="77777777" w:rsidR="00A83E6E" w:rsidRDefault="00A83E6E" w:rsidP="00A83E6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Administrative organization and academic regulations</w:t>
      </w:r>
    </w:p>
    <w:p w14:paraId="2FF5D967" w14:textId="77777777" w:rsidR="006C7AF0" w:rsidRDefault="006C7AF0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Standard recordkeeping procedures</w:t>
      </w:r>
    </w:p>
    <w:p w14:paraId="05A21784" w14:textId="77777777" w:rsidR="006C7AF0" w:rsidRDefault="006C7AF0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Support systems for data management </w:t>
      </w:r>
    </w:p>
    <w:p w14:paraId="366CE74A" w14:textId="77777777" w:rsidR="008C3A54" w:rsidRPr="00501982" w:rsidRDefault="008C3A54" w:rsidP="008C3A54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Student information systems, Microsoft Office and other related software applications </w:t>
      </w:r>
    </w:p>
    <w:p w14:paraId="0AF1CE8A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798D30A3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388FD95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Understanding students and fostering student success</w:t>
      </w:r>
    </w:p>
    <w:p w14:paraId="0192EA9B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7C3EEEA8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Critical thinking, problem solving</w:t>
      </w:r>
      <w:r w:rsidR="006C7AF0">
        <w:rPr>
          <w:rFonts w:asciiTheme="majorHAnsi" w:hAnsiTheme="majorHAnsi" w:cstheme="majorHAnsi"/>
          <w:sz w:val="22"/>
          <w:szCs w:val="22"/>
        </w:rPr>
        <w:t>,</w:t>
      </w:r>
      <w:r w:rsidRPr="00D66D03">
        <w:rPr>
          <w:rFonts w:asciiTheme="majorHAnsi" w:hAnsiTheme="majorHAnsi" w:cstheme="majorHAnsi"/>
          <w:sz w:val="22"/>
          <w:szCs w:val="22"/>
        </w:rPr>
        <w:t xml:space="preserve"> and analysis </w:t>
      </w:r>
    </w:p>
    <w:p w14:paraId="1556A5A3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381D0DF2" w14:textId="77777777" w:rsidR="00504F55" w:rsidRPr="00D66D03" w:rsidRDefault="006C7AF0" w:rsidP="006C7AF0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</w:t>
      </w:r>
      <w:r w:rsidRPr="006C7AF0">
        <w:rPr>
          <w:rFonts w:asciiTheme="majorHAnsi" w:hAnsiTheme="majorHAnsi" w:cstheme="majorHAnsi"/>
          <w:sz w:val="22"/>
          <w:szCs w:val="22"/>
        </w:rPr>
        <w:t>uide students and faculty through the registration process</w:t>
      </w:r>
    </w:p>
    <w:p w14:paraId="4DACCB70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79056F4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608C31EB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7D63E6E6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p w14:paraId="7C9E0049" w14:textId="77777777" w:rsidR="00504F55" w:rsidRPr="008C3A54" w:rsidRDefault="008C3A54" w:rsidP="008C3A54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Assess, develop and monitor solutions that </w:t>
      </w:r>
      <w:r w:rsidR="00904A23">
        <w:rPr>
          <w:rFonts w:asciiTheme="majorHAnsi" w:hAnsiTheme="majorHAnsi" w:cstheme="majorHAnsi"/>
          <w:sz w:val="22"/>
          <w:szCs w:val="22"/>
        </w:rPr>
        <w:t>manage and mitigate risk</w:t>
      </w:r>
    </w:p>
    <w:bookmarkEnd w:id="0"/>
    <w:bookmarkEnd w:id="1"/>
    <w:sectPr w:rsidR="00504F55" w:rsidRPr="008C3A54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B7DC0" w14:textId="77777777" w:rsidR="0012524C" w:rsidRDefault="0012524C">
      <w:r>
        <w:separator/>
      </w:r>
    </w:p>
    <w:p w14:paraId="15A40273" w14:textId="77777777" w:rsidR="0012524C" w:rsidRDefault="0012524C"/>
  </w:endnote>
  <w:endnote w:type="continuationSeparator" w:id="0">
    <w:p w14:paraId="7711DB65" w14:textId="77777777" w:rsidR="0012524C" w:rsidRDefault="0012524C">
      <w:r>
        <w:continuationSeparator/>
      </w:r>
    </w:p>
    <w:p w14:paraId="031AADED" w14:textId="77777777" w:rsidR="0012524C" w:rsidRDefault="001252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8DEE4" w14:textId="77777777" w:rsidR="003F1BB1" w:rsidRDefault="003F1B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C161A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2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5989833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0504F" w14:textId="77777777" w:rsidR="00BE6227" w:rsidRDefault="003F1BB1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DDEBD" w14:textId="77777777" w:rsidR="0012524C" w:rsidRDefault="0012524C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7C75BD3C" w14:textId="77777777" w:rsidR="0012524C" w:rsidRDefault="0012524C">
      <w:r>
        <w:continuationSeparator/>
      </w:r>
    </w:p>
    <w:p w14:paraId="4BE9B097" w14:textId="77777777" w:rsidR="0012524C" w:rsidRDefault="001252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0E8C7" w14:textId="77777777" w:rsidR="003F1BB1" w:rsidRDefault="003F1B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D1E36" w14:textId="77777777" w:rsidR="00C9354E" w:rsidRPr="008A7410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8A7410">
      <w:rPr>
        <w:b/>
        <w:sz w:val="28"/>
        <w:szCs w:val="28"/>
        <w:u w:val="single"/>
      </w:rPr>
      <w:t xml:space="preserve">Job </w:t>
    </w:r>
    <w:r w:rsidR="00D66D03" w:rsidRPr="008A7410">
      <w:rPr>
        <w:b/>
        <w:sz w:val="28"/>
        <w:szCs w:val="28"/>
        <w:u w:val="single"/>
      </w:rPr>
      <w:t>Template</w:t>
    </w:r>
    <w:r w:rsidR="008A7410" w:rsidRPr="008A7410">
      <w:rPr>
        <w:b/>
        <w:sz w:val="28"/>
        <w:szCs w:val="28"/>
        <w:u w:val="single"/>
      </w:rPr>
      <w:t xml:space="preserve">: </w:t>
    </w:r>
    <w:r w:rsidR="008A7410" w:rsidRPr="008A7410">
      <w:rPr>
        <w:b/>
        <w:bCs/>
        <w:sz w:val="28"/>
        <w:szCs w:val="28"/>
        <w:u w:val="single"/>
      </w:rPr>
      <w:t>Associate Registrar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1E5EFB" w:rsidRPr="003F1BB1" w14:paraId="34E3A324" w14:textId="77777777" w:rsidTr="003F1BB1">
      <w:tc>
        <w:tcPr>
          <w:tcW w:w="2695" w:type="dxa"/>
          <w:vAlign w:val="center"/>
          <w:hideMark/>
        </w:tcPr>
        <w:p w14:paraId="4A2CED1C" w14:textId="77777777" w:rsidR="001E5EFB" w:rsidRPr="003F1BB1" w:rsidRDefault="001E5EFB" w:rsidP="003F1BB1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3F1BB1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38912FCD" w14:textId="77777777" w:rsidR="001E5EFB" w:rsidRPr="003F1BB1" w:rsidRDefault="001E5EFB" w:rsidP="003F1BB1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3F1BB1">
            <w:rPr>
              <w:rFonts w:asciiTheme="majorHAnsi" w:hAnsiTheme="majorHAnsi" w:cstheme="majorHAnsi"/>
            </w:rPr>
            <w:t>Student Programs/Services</w:t>
          </w:r>
        </w:p>
      </w:tc>
    </w:tr>
    <w:tr w:rsidR="001E5EFB" w:rsidRPr="003F1BB1" w14:paraId="5910E048" w14:textId="77777777" w:rsidTr="003F1BB1">
      <w:tc>
        <w:tcPr>
          <w:tcW w:w="2695" w:type="dxa"/>
          <w:vAlign w:val="center"/>
          <w:hideMark/>
        </w:tcPr>
        <w:p w14:paraId="1BF6637D" w14:textId="77777777" w:rsidR="001E5EFB" w:rsidRPr="003F1BB1" w:rsidRDefault="001E5EFB" w:rsidP="003F1BB1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3F1BB1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565369DB" w14:textId="77777777" w:rsidR="001E5EFB" w:rsidRPr="003F1BB1" w:rsidRDefault="001E5EFB" w:rsidP="003F1BB1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3F1BB1">
            <w:rPr>
              <w:rFonts w:asciiTheme="majorHAnsi" w:hAnsiTheme="majorHAnsi" w:cstheme="majorHAnsi"/>
            </w:rPr>
            <w:t>Admissions and Registration</w:t>
          </w:r>
        </w:p>
      </w:tc>
    </w:tr>
    <w:tr w:rsidR="001E5EFB" w:rsidRPr="003F1BB1" w14:paraId="7D9568A6" w14:textId="77777777" w:rsidTr="003F1BB1">
      <w:tc>
        <w:tcPr>
          <w:tcW w:w="2695" w:type="dxa"/>
          <w:vAlign w:val="center"/>
          <w:hideMark/>
        </w:tcPr>
        <w:p w14:paraId="77790F4E" w14:textId="77777777" w:rsidR="001E5EFB" w:rsidRPr="003F1BB1" w:rsidRDefault="001E5EFB" w:rsidP="003F1BB1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3F1BB1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7A4D2BC7" w14:textId="77777777" w:rsidR="001E5EFB" w:rsidRPr="003F1BB1" w:rsidRDefault="001E5EFB" w:rsidP="003F1BB1">
          <w:pPr>
            <w:rPr>
              <w:rFonts w:asciiTheme="majorHAnsi" w:hAnsiTheme="majorHAnsi" w:cstheme="majorHAnsi"/>
              <w:bCs/>
              <w:sz w:val="24"/>
            </w:rPr>
          </w:pPr>
          <w:r w:rsidRPr="003F1BB1">
            <w:rPr>
              <w:rFonts w:asciiTheme="majorHAnsi" w:hAnsiTheme="majorHAnsi" w:cstheme="majorHAnsi"/>
              <w:bCs/>
              <w:sz w:val="24"/>
            </w:rPr>
            <w:t>Registrar</w:t>
          </w:r>
        </w:p>
      </w:tc>
    </w:tr>
    <w:tr w:rsidR="001E5EFB" w:rsidRPr="003F1BB1" w14:paraId="738CFCEA" w14:textId="77777777" w:rsidTr="003F1BB1">
      <w:tc>
        <w:tcPr>
          <w:tcW w:w="2695" w:type="dxa"/>
          <w:vAlign w:val="center"/>
          <w:hideMark/>
        </w:tcPr>
        <w:p w14:paraId="67DCB624" w14:textId="77777777" w:rsidR="001E5EFB" w:rsidRPr="003F1BB1" w:rsidRDefault="001E5EFB" w:rsidP="003F1BB1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3F1BB1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19447D70" w14:textId="77777777" w:rsidR="001E5EFB" w:rsidRPr="003F1BB1" w:rsidRDefault="001E5EFB" w:rsidP="003F1BB1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3F1BB1">
            <w:rPr>
              <w:rFonts w:asciiTheme="majorHAnsi" w:hAnsiTheme="majorHAnsi" w:cstheme="majorHAnsi"/>
              <w:b/>
              <w:bCs/>
              <w:sz w:val="24"/>
            </w:rPr>
            <w:t>Associate Registrar</w:t>
          </w:r>
        </w:p>
      </w:tc>
    </w:tr>
    <w:tr w:rsidR="003F1BB1" w:rsidRPr="003F1BB1" w14:paraId="1C9119A7" w14:textId="77777777" w:rsidTr="003F1BB1">
      <w:tc>
        <w:tcPr>
          <w:tcW w:w="2695" w:type="dxa"/>
          <w:vAlign w:val="center"/>
        </w:tcPr>
        <w:p w14:paraId="7A2BCD2E" w14:textId="5B0569FA" w:rsidR="003F1BB1" w:rsidRPr="003F1BB1" w:rsidRDefault="003F1BB1" w:rsidP="003F1BB1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M</w:t>
          </w:r>
        </w:p>
      </w:tc>
      <w:tc>
        <w:tcPr>
          <w:tcW w:w="7129" w:type="dxa"/>
          <w:vAlign w:val="center"/>
        </w:tcPr>
        <w:p w14:paraId="7D6B6866" w14:textId="58274187" w:rsidR="003F1BB1" w:rsidRPr="003F1BB1" w:rsidRDefault="003F1BB1" w:rsidP="003F1BB1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7</w:t>
          </w:r>
        </w:p>
      </w:tc>
    </w:tr>
    <w:tr w:rsidR="003F1BB1" w:rsidRPr="003F1BB1" w14:paraId="163FCA65" w14:textId="77777777" w:rsidTr="003F1BB1">
      <w:tc>
        <w:tcPr>
          <w:tcW w:w="2695" w:type="dxa"/>
          <w:vAlign w:val="center"/>
        </w:tcPr>
        <w:p w14:paraId="0E06043B" w14:textId="6A207ACA" w:rsidR="003F1BB1" w:rsidRPr="003F1BB1" w:rsidRDefault="003F1BB1" w:rsidP="003F1BB1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17DD0CC6" w14:textId="0CE2FF39" w:rsidR="003F1BB1" w:rsidRPr="003F1BB1" w:rsidRDefault="003F1BB1" w:rsidP="003F1BB1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L02002</w:t>
          </w:r>
        </w:p>
      </w:tc>
    </w:tr>
  </w:tbl>
  <w:p w14:paraId="4DCD7361" w14:textId="77777777" w:rsidR="00386823" w:rsidRPr="00386823" w:rsidRDefault="00386823" w:rsidP="001E5EFB">
    <w:pPr>
      <w:pStyle w:val="Head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937FD" w14:textId="77777777" w:rsidR="003F1BB1" w:rsidRDefault="003F1B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B0B"/>
    <w:multiLevelType w:val="hybridMultilevel"/>
    <w:tmpl w:val="D2DAB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2B52"/>
    <w:multiLevelType w:val="hybridMultilevel"/>
    <w:tmpl w:val="69E28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50E2946">
      <w:start w:val="1"/>
      <w:numFmt w:val="bullet"/>
      <w:lvlText w:val="o"/>
      <w:lvlJc w:val="left"/>
      <w:pPr>
        <w:ind w:left="1080" w:hanging="360"/>
      </w:pPr>
      <w:rPr>
        <w:rFonts w:ascii="Calibri Light" w:hAnsi="Calibri Light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7" w15:restartNumberingAfterBreak="0">
    <w:nsid w:val="27FB778A"/>
    <w:multiLevelType w:val="hybridMultilevel"/>
    <w:tmpl w:val="DFE28E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4228C2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5C6E6E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55342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1CC7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64AEE9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49A6EC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B20F61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6F76724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8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8"/>
  </w:num>
  <w:num w:numId="5">
    <w:abstractNumId w:val="11"/>
  </w:num>
  <w:num w:numId="6">
    <w:abstractNumId w:val="18"/>
  </w:num>
  <w:num w:numId="7">
    <w:abstractNumId w:val="10"/>
  </w:num>
  <w:num w:numId="8">
    <w:abstractNumId w:val="21"/>
  </w:num>
  <w:num w:numId="9">
    <w:abstractNumId w:val="13"/>
  </w:num>
  <w:num w:numId="10">
    <w:abstractNumId w:val="2"/>
  </w:num>
  <w:num w:numId="11">
    <w:abstractNumId w:val="4"/>
  </w:num>
  <w:num w:numId="12">
    <w:abstractNumId w:val="12"/>
  </w:num>
  <w:num w:numId="13">
    <w:abstractNumId w:val="16"/>
  </w:num>
  <w:num w:numId="14">
    <w:abstractNumId w:val="5"/>
  </w:num>
  <w:num w:numId="15">
    <w:abstractNumId w:val="14"/>
  </w:num>
  <w:num w:numId="16">
    <w:abstractNumId w:val="8"/>
  </w:num>
  <w:num w:numId="17">
    <w:abstractNumId w:val="4"/>
  </w:num>
  <w:num w:numId="18">
    <w:abstractNumId w:val="0"/>
  </w:num>
  <w:num w:numId="19">
    <w:abstractNumId w:val="19"/>
  </w:num>
  <w:num w:numId="20">
    <w:abstractNumId w:val="17"/>
  </w:num>
  <w:num w:numId="21">
    <w:abstractNumId w:val="20"/>
  </w:num>
  <w:num w:numId="22">
    <w:abstractNumId w:val="15"/>
  </w:num>
  <w:num w:numId="23">
    <w:abstractNumId w:val="7"/>
  </w:num>
  <w:num w:numId="2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65D64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047FF"/>
    <w:rsid w:val="0012524C"/>
    <w:rsid w:val="001466FB"/>
    <w:rsid w:val="00153E9C"/>
    <w:rsid w:val="00160549"/>
    <w:rsid w:val="00164061"/>
    <w:rsid w:val="001849A0"/>
    <w:rsid w:val="001D47B1"/>
    <w:rsid w:val="001E5041"/>
    <w:rsid w:val="001E5EFB"/>
    <w:rsid w:val="002146FB"/>
    <w:rsid w:val="002230FF"/>
    <w:rsid w:val="002401DB"/>
    <w:rsid w:val="0024342D"/>
    <w:rsid w:val="00250F8A"/>
    <w:rsid w:val="00253931"/>
    <w:rsid w:val="0025394E"/>
    <w:rsid w:val="0025575B"/>
    <w:rsid w:val="00271F27"/>
    <w:rsid w:val="0027378E"/>
    <w:rsid w:val="002857A5"/>
    <w:rsid w:val="002A6577"/>
    <w:rsid w:val="002E0828"/>
    <w:rsid w:val="002E5D89"/>
    <w:rsid w:val="002F45D4"/>
    <w:rsid w:val="002F62E5"/>
    <w:rsid w:val="003016A9"/>
    <w:rsid w:val="003039B4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1BB1"/>
    <w:rsid w:val="003F581B"/>
    <w:rsid w:val="003F660C"/>
    <w:rsid w:val="00400304"/>
    <w:rsid w:val="00402FF1"/>
    <w:rsid w:val="004073EC"/>
    <w:rsid w:val="0041441B"/>
    <w:rsid w:val="004267DD"/>
    <w:rsid w:val="00431B0B"/>
    <w:rsid w:val="00446D9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2E79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1E59"/>
    <w:rsid w:val="00647062"/>
    <w:rsid w:val="0065248B"/>
    <w:rsid w:val="00652C0E"/>
    <w:rsid w:val="0065411D"/>
    <w:rsid w:val="0066089C"/>
    <w:rsid w:val="006768B4"/>
    <w:rsid w:val="00682227"/>
    <w:rsid w:val="0068590C"/>
    <w:rsid w:val="00687D8C"/>
    <w:rsid w:val="00697C5B"/>
    <w:rsid w:val="006B09D9"/>
    <w:rsid w:val="006C7AF0"/>
    <w:rsid w:val="006D3007"/>
    <w:rsid w:val="006D763E"/>
    <w:rsid w:val="006F1619"/>
    <w:rsid w:val="006F5261"/>
    <w:rsid w:val="00702602"/>
    <w:rsid w:val="00705CED"/>
    <w:rsid w:val="00716899"/>
    <w:rsid w:val="00717318"/>
    <w:rsid w:val="00724FAC"/>
    <w:rsid w:val="00725B21"/>
    <w:rsid w:val="00732D11"/>
    <w:rsid w:val="00735764"/>
    <w:rsid w:val="00736696"/>
    <w:rsid w:val="00736ED2"/>
    <w:rsid w:val="00737A19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35270"/>
    <w:rsid w:val="00837287"/>
    <w:rsid w:val="00842D8E"/>
    <w:rsid w:val="00844E70"/>
    <w:rsid w:val="0085153B"/>
    <w:rsid w:val="0087685E"/>
    <w:rsid w:val="00882063"/>
    <w:rsid w:val="008859F8"/>
    <w:rsid w:val="008A5934"/>
    <w:rsid w:val="008A60A5"/>
    <w:rsid w:val="008A7410"/>
    <w:rsid w:val="008C3A54"/>
    <w:rsid w:val="008D22DD"/>
    <w:rsid w:val="008E122C"/>
    <w:rsid w:val="008E3002"/>
    <w:rsid w:val="008F31C5"/>
    <w:rsid w:val="008F5C30"/>
    <w:rsid w:val="008F6B52"/>
    <w:rsid w:val="00904A23"/>
    <w:rsid w:val="009074AB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72F4"/>
    <w:rsid w:val="009F3D04"/>
    <w:rsid w:val="00A018A2"/>
    <w:rsid w:val="00A34E75"/>
    <w:rsid w:val="00A44140"/>
    <w:rsid w:val="00A63AAA"/>
    <w:rsid w:val="00A80A77"/>
    <w:rsid w:val="00A83E6E"/>
    <w:rsid w:val="00A85A1E"/>
    <w:rsid w:val="00AA5404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A377D"/>
    <w:rsid w:val="00BB47AE"/>
    <w:rsid w:val="00BD5465"/>
    <w:rsid w:val="00BE20F7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52E50"/>
    <w:rsid w:val="00E62B34"/>
    <w:rsid w:val="00E62B60"/>
    <w:rsid w:val="00E75798"/>
    <w:rsid w:val="00E90D01"/>
    <w:rsid w:val="00EA4523"/>
    <w:rsid w:val="00ED32DC"/>
    <w:rsid w:val="00EE1E1C"/>
    <w:rsid w:val="00F12675"/>
    <w:rsid w:val="00F16F21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9CB1CF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9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38B79-38F3-4284-A582-365D066C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29</TotalTime>
  <Pages>6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10</cp:revision>
  <cp:lastPrinted>2017-11-08T18:33:00Z</cp:lastPrinted>
  <dcterms:created xsi:type="dcterms:W3CDTF">2020-02-26T22:02:00Z</dcterms:created>
  <dcterms:modified xsi:type="dcterms:W3CDTF">2020-09-09T16:51:00Z</dcterms:modified>
</cp:coreProperties>
</file>